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B7751" w14:textId="77777777" w:rsidR="00FA26CA" w:rsidRPr="00FA26CA" w:rsidRDefault="00FA26CA" w:rsidP="00FA26CA">
      <w:pPr>
        <w:jc w:val="center"/>
        <w:rPr>
          <w:rFonts w:cstheme="minorHAnsi"/>
          <w:b/>
          <w:sz w:val="24"/>
          <w:szCs w:val="24"/>
        </w:rPr>
      </w:pPr>
      <w:r w:rsidRPr="00FA26CA">
        <w:rPr>
          <w:rFonts w:ascii="Calibri" w:eastAsia="Calibri" w:hAnsi="Calibri" w:cs="Times New Roman"/>
          <w:noProof/>
          <w:sz w:val="36"/>
          <w:szCs w:val="36"/>
          <w:lang w:eastAsia="en-GB"/>
        </w:rPr>
        <w:drawing>
          <wp:anchor distT="0" distB="0" distL="114300" distR="114300" simplePos="0" relativeHeight="251659264" behindDoc="0" locked="0" layoutInCell="1" allowOverlap="1" wp14:anchorId="4E9F7E87" wp14:editId="62A657D6">
            <wp:simplePos x="0" y="0"/>
            <wp:positionH relativeFrom="margin">
              <wp:posOffset>-43815</wp:posOffset>
            </wp:positionH>
            <wp:positionV relativeFrom="paragraph">
              <wp:posOffset>-454660</wp:posOffset>
            </wp:positionV>
            <wp:extent cx="1403350" cy="338321"/>
            <wp:effectExtent l="0" t="0" r="6350" b="5080"/>
            <wp:wrapNone/>
            <wp:docPr id="292" name="Picture 292" descr="AfC_CMYK-Forwhitebackground_grey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fC_CMYK-Forwhitebackground_grey_1000px"/>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3350" cy="338321"/>
                    </a:xfrm>
                    <a:prstGeom prst="rect">
                      <a:avLst/>
                    </a:prstGeom>
                    <a:noFill/>
                  </pic:spPr>
                </pic:pic>
              </a:graphicData>
            </a:graphic>
            <wp14:sizeRelH relativeFrom="margin">
              <wp14:pctWidth>0</wp14:pctWidth>
            </wp14:sizeRelH>
            <wp14:sizeRelV relativeFrom="margin">
              <wp14:pctHeight>0</wp14:pctHeight>
            </wp14:sizeRelV>
          </wp:anchor>
        </w:drawing>
      </w:r>
      <w:r w:rsidRPr="00FA26CA">
        <w:rPr>
          <w:noProof/>
          <w:lang w:eastAsia="en-GB"/>
        </w:rPr>
        <w:drawing>
          <wp:anchor distT="0" distB="0" distL="114300" distR="114300" simplePos="0" relativeHeight="251660288" behindDoc="1" locked="0" layoutInCell="1" allowOverlap="1" wp14:anchorId="5D3138D9" wp14:editId="445ECCC6">
            <wp:simplePos x="0" y="0"/>
            <wp:positionH relativeFrom="column">
              <wp:posOffset>0</wp:posOffset>
            </wp:positionH>
            <wp:positionV relativeFrom="paragraph">
              <wp:posOffset>0</wp:posOffset>
            </wp:positionV>
            <wp:extent cx="762000" cy="798095"/>
            <wp:effectExtent l="0" t="0" r="0" b="2540"/>
            <wp:wrapNone/>
            <wp:docPr id="315" name="image8.png" descr="RBWM 2017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descr="RBWM 2017 purp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3647" cy="799820"/>
                    </a:xfrm>
                    <a:prstGeom prst="rect">
                      <a:avLst/>
                    </a:prstGeom>
                    <a:noFill/>
                  </pic:spPr>
                </pic:pic>
              </a:graphicData>
            </a:graphic>
            <wp14:sizeRelH relativeFrom="page">
              <wp14:pctWidth>0</wp14:pctWidth>
            </wp14:sizeRelH>
            <wp14:sizeRelV relativeFrom="page">
              <wp14:pctHeight>0</wp14:pctHeight>
            </wp14:sizeRelV>
          </wp:anchor>
        </w:drawing>
      </w:r>
      <w:r w:rsidRPr="00FA26CA">
        <w:rPr>
          <w:rFonts w:cstheme="minorHAnsi"/>
          <w:b/>
          <w:sz w:val="36"/>
          <w:szCs w:val="36"/>
        </w:rPr>
        <w:t xml:space="preserve">School review of processes </w:t>
      </w:r>
      <w:r w:rsidRPr="00FA26CA">
        <w:rPr>
          <w:rFonts w:cstheme="minorHAnsi"/>
          <w:b/>
          <w:sz w:val="36"/>
          <w:szCs w:val="36"/>
        </w:rPr>
        <w:br/>
      </w:r>
      <w:r w:rsidRPr="00FA26CA">
        <w:rPr>
          <w:rFonts w:cstheme="minorHAnsi"/>
          <w:b/>
          <w:sz w:val="36"/>
          <w:szCs w:val="36"/>
        </w:rPr>
        <w:br/>
      </w:r>
      <w:r w:rsidRPr="00FA26CA">
        <w:rPr>
          <w:rFonts w:cstheme="minorHAnsi"/>
          <w:b/>
          <w:sz w:val="24"/>
          <w:szCs w:val="24"/>
        </w:rPr>
        <w:t xml:space="preserve">Template for schools to review their internal process and response </w:t>
      </w:r>
      <w:r w:rsidRPr="00FA26CA">
        <w:rPr>
          <w:rFonts w:cstheme="minorHAnsi"/>
          <w:b/>
          <w:sz w:val="24"/>
          <w:szCs w:val="24"/>
        </w:rPr>
        <w:br/>
        <w:t xml:space="preserve">to </w:t>
      </w:r>
      <w:proofErr w:type="gramStart"/>
      <w:r w:rsidRPr="00FA26CA">
        <w:rPr>
          <w:rFonts w:cstheme="minorHAnsi"/>
          <w:b/>
          <w:sz w:val="24"/>
          <w:szCs w:val="24"/>
        </w:rPr>
        <w:t>child on child</w:t>
      </w:r>
      <w:proofErr w:type="gramEnd"/>
      <w:r w:rsidRPr="00FA26CA">
        <w:rPr>
          <w:rFonts w:cstheme="minorHAnsi"/>
          <w:b/>
          <w:sz w:val="24"/>
          <w:szCs w:val="24"/>
        </w:rPr>
        <w:t xml:space="preserve"> abuse disclosures</w:t>
      </w:r>
      <w:r w:rsidRPr="00FA26CA">
        <w:rPr>
          <w:rFonts w:cstheme="minorHAnsi"/>
          <w:b/>
          <w:sz w:val="36"/>
          <w:szCs w:val="36"/>
        </w:rPr>
        <w:t xml:space="preserve"> </w:t>
      </w:r>
    </w:p>
    <w:tbl>
      <w:tblPr>
        <w:tblStyle w:val="TableGrid"/>
        <w:tblpPr w:leftFromText="180" w:rightFromText="180" w:vertAnchor="text" w:horzAnchor="margin" w:tblpX="-856" w:tblpY="315"/>
        <w:tblW w:w="10768" w:type="dxa"/>
        <w:tblLook w:val="04A0" w:firstRow="1" w:lastRow="0" w:firstColumn="1" w:lastColumn="0" w:noHBand="0" w:noVBand="1"/>
      </w:tblPr>
      <w:tblGrid>
        <w:gridCol w:w="3256"/>
        <w:gridCol w:w="5244"/>
        <w:gridCol w:w="2268"/>
      </w:tblGrid>
      <w:tr w:rsidR="00FA26CA" w14:paraId="7633D352" w14:textId="77777777" w:rsidTr="00FA26CA">
        <w:tc>
          <w:tcPr>
            <w:tcW w:w="3256" w:type="dxa"/>
          </w:tcPr>
          <w:p w14:paraId="0B1D3545" w14:textId="77777777" w:rsidR="00FA26CA" w:rsidRPr="00EB3824" w:rsidRDefault="00FA26CA" w:rsidP="00FA26CA">
            <w:pPr>
              <w:rPr>
                <w:rFonts w:cstheme="minorHAnsi"/>
                <w:b/>
                <w:color w:val="BF8F00" w:themeColor="accent4" w:themeShade="BF"/>
                <w:sz w:val="19"/>
                <w:szCs w:val="19"/>
              </w:rPr>
            </w:pPr>
            <w:r w:rsidRPr="00EB3824">
              <w:rPr>
                <w:rFonts w:cstheme="minorHAnsi"/>
                <w:b/>
                <w:color w:val="BF8F00" w:themeColor="accent4" w:themeShade="BF"/>
                <w:sz w:val="19"/>
                <w:szCs w:val="19"/>
              </w:rPr>
              <w:t xml:space="preserve">School Focus </w:t>
            </w:r>
          </w:p>
          <w:p w14:paraId="7A915F8B" w14:textId="77777777" w:rsidR="00FA26CA" w:rsidRPr="00EB3824" w:rsidRDefault="00FA26CA" w:rsidP="00FA26CA">
            <w:pPr>
              <w:pStyle w:val="ListParagraph"/>
              <w:rPr>
                <w:rFonts w:cstheme="minorHAnsi"/>
                <w:b/>
                <w:color w:val="BF8F00" w:themeColor="accent4" w:themeShade="BF"/>
                <w:sz w:val="19"/>
                <w:szCs w:val="19"/>
              </w:rPr>
            </w:pPr>
          </w:p>
        </w:tc>
        <w:tc>
          <w:tcPr>
            <w:tcW w:w="5244" w:type="dxa"/>
          </w:tcPr>
          <w:p w14:paraId="360B62A4" w14:textId="77777777" w:rsidR="00FA26CA" w:rsidRPr="00EB3824" w:rsidRDefault="00FA26CA" w:rsidP="00FA26CA">
            <w:pPr>
              <w:rPr>
                <w:rFonts w:cstheme="minorHAnsi"/>
                <w:b/>
                <w:color w:val="BF8F00"/>
                <w:sz w:val="19"/>
                <w:szCs w:val="19"/>
              </w:rPr>
            </w:pPr>
            <w:r w:rsidRPr="00EB3824">
              <w:rPr>
                <w:rFonts w:cstheme="minorHAnsi"/>
                <w:b/>
                <w:color w:val="BF8F00"/>
                <w:sz w:val="19"/>
                <w:szCs w:val="19"/>
              </w:rPr>
              <w:t xml:space="preserve">Details &amp; guidance </w:t>
            </w:r>
          </w:p>
        </w:tc>
        <w:tc>
          <w:tcPr>
            <w:tcW w:w="2268" w:type="dxa"/>
          </w:tcPr>
          <w:p w14:paraId="6DD3ECE4" w14:textId="77777777" w:rsidR="00FA26CA" w:rsidRPr="00EB3824" w:rsidRDefault="00FA26CA" w:rsidP="00FA26CA">
            <w:pPr>
              <w:rPr>
                <w:rFonts w:cstheme="minorHAnsi"/>
                <w:b/>
                <w:color w:val="BF8F00" w:themeColor="accent4" w:themeShade="BF"/>
                <w:sz w:val="18"/>
                <w:szCs w:val="18"/>
              </w:rPr>
            </w:pPr>
            <w:r w:rsidRPr="00EB3824">
              <w:rPr>
                <w:rFonts w:cstheme="minorHAnsi"/>
                <w:b/>
                <w:color w:val="BF8F00" w:themeColor="accent4" w:themeShade="BF"/>
                <w:sz w:val="18"/>
                <w:szCs w:val="18"/>
              </w:rPr>
              <w:t xml:space="preserve">Yes/No/Requires focus/improvement </w:t>
            </w:r>
          </w:p>
        </w:tc>
      </w:tr>
      <w:tr w:rsidR="00FA26CA" w14:paraId="46B14C13" w14:textId="77777777" w:rsidTr="00FA26CA">
        <w:tc>
          <w:tcPr>
            <w:tcW w:w="3256" w:type="dxa"/>
          </w:tcPr>
          <w:p w14:paraId="3D3EF197" w14:textId="77777777" w:rsidR="00FA26CA" w:rsidRPr="00EB3824" w:rsidRDefault="00FA26CA" w:rsidP="00FA26CA">
            <w:pPr>
              <w:pStyle w:val="ListParagraph"/>
              <w:numPr>
                <w:ilvl w:val="0"/>
                <w:numId w:val="1"/>
              </w:numPr>
              <w:rPr>
                <w:rFonts w:cstheme="minorHAnsi"/>
                <w:b/>
                <w:color w:val="BF8F00" w:themeColor="accent4" w:themeShade="BF"/>
                <w:sz w:val="19"/>
                <w:szCs w:val="19"/>
              </w:rPr>
            </w:pPr>
            <w:r w:rsidRPr="00EB3824">
              <w:rPr>
                <w:rFonts w:cstheme="minorHAnsi"/>
                <w:b/>
                <w:color w:val="BF8F00" w:themeColor="accent4" w:themeShade="BF"/>
                <w:sz w:val="19"/>
                <w:szCs w:val="19"/>
              </w:rPr>
              <w:t xml:space="preserve">Adult language &amp; behaviour used in school  </w:t>
            </w:r>
          </w:p>
        </w:tc>
        <w:tc>
          <w:tcPr>
            <w:tcW w:w="5244" w:type="dxa"/>
          </w:tcPr>
          <w:p w14:paraId="32C710FD" w14:textId="77777777" w:rsidR="00FA26CA" w:rsidRPr="00637966" w:rsidRDefault="00FA26CA" w:rsidP="00FA26CA">
            <w:pPr>
              <w:rPr>
                <w:rFonts w:cstheme="minorHAnsi"/>
                <w:bCs/>
                <w:sz w:val="19"/>
                <w:szCs w:val="19"/>
              </w:rPr>
            </w:pPr>
            <w:r w:rsidRPr="00637966">
              <w:rPr>
                <w:rFonts w:cstheme="minorHAnsi"/>
                <w:bCs/>
                <w:sz w:val="19"/>
                <w:szCs w:val="19"/>
              </w:rPr>
              <w:t xml:space="preserve">Think about </w:t>
            </w:r>
            <w:r>
              <w:rPr>
                <w:rFonts w:cstheme="minorHAnsi"/>
                <w:bCs/>
                <w:sz w:val="19"/>
                <w:szCs w:val="19"/>
              </w:rPr>
              <w:t>the use of</w:t>
            </w:r>
            <w:r w:rsidRPr="00637966">
              <w:rPr>
                <w:rFonts w:cstheme="minorHAnsi"/>
                <w:bCs/>
                <w:sz w:val="19"/>
                <w:szCs w:val="19"/>
              </w:rPr>
              <w:t xml:space="preserve"> language and behaviour </w:t>
            </w:r>
            <w:r>
              <w:rPr>
                <w:rFonts w:cstheme="minorHAnsi"/>
                <w:bCs/>
                <w:sz w:val="19"/>
                <w:szCs w:val="19"/>
              </w:rPr>
              <w:t>and how this may be</w:t>
            </w:r>
            <w:r w:rsidRPr="00637966">
              <w:rPr>
                <w:rFonts w:cstheme="minorHAnsi"/>
                <w:bCs/>
                <w:sz w:val="19"/>
                <w:szCs w:val="19"/>
              </w:rPr>
              <w:t xml:space="preserve"> viewed by other</w:t>
            </w:r>
            <w:r>
              <w:rPr>
                <w:rFonts w:cstheme="minorHAnsi"/>
                <w:bCs/>
                <w:sz w:val="19"/>
                <w:szCs w:val="19"/>
              </w:rPr>
              <w:t>s</w:t>
            </w:r>
            <w:r w:rsidRPr="00637966">
              <w:rPr>
                <w:rFonts w:cstheme="minorHAnsi"/>
                <w:bCs/>
                <w:sz w:val="19"/>
                <w:szCs w:val="19"/>
              </w:rPr>
              <w:t xml:space="preserve"> and the impact this may have on a child   </w:t>
            </w:r>
          </w:p>
        </w:tc>
        <w:tc>
          <w:tcPr>
            <w:tcW w:w="2268" w:type="dxa"/>
          </w:tcPr>
          <w:p w14:paraId="19E3794D" w14:textId="77777777" w:rsidR="00FA26CA" w:rsidRPr="000163A1" w:rsidRDefault="00FA26CA" w:rsidP="00FA26CA">
            <w:pPr>
              <w:rPr>
                <w:rFonts w:cstheme="minorHAnsi"/>
                <w:bCs/>
                <w:color w:val="BF8F00" w:themeColor="accent4" w:themeShade="BF"/>
                <w:sz w:val="19"/>
                <w:szCs w:val="19"/>
              </w:rPr>
            </w:pPr>
          </w:p>
        </w:tc>
      </w:tr>
      <w:tr w:rsidR="00FA26CA" w14:paraId="4D0A7BC8" w14:textId="77777777" w:rsidTr="00FA26CA">
        <w:tc>
          <w:tcPr>
            <w:tcW w:w="3256" w:type="dxa"/>
          </w:tcPr>
          <w:p w14:paraId="1AC04B39" w14:textId="77777777" w:rsidR="00FA26CA" w:rsidRPr="00EB3824" w:rsidRDefault="00FA26CA" w:rsidP="00FA26CA">
            <w:pPr>
              <w:pStyle w:val="ListParagraph"/>
              <w:numPr>
                <w:ilvl w:val="0"/>
                <w:numId w:val="1"/>
              </w:numPr>
              <w:rPr>
                <w:rFonts w:cstheme="minorHAnsi"/>
                <w:b/>
                <w:color w:val="BF8F00" w:themeColor="accent4" w:themeShade="BF"/>
                <w:sz w:val="19"/>
                <w:szCs w:val="19"/>
              </w:rPr>
            </w:pPr>
            <w:r w:rsidRPr="00EB3824">
              <w:rPr>
                <w:rFonts w:cstheme="minorHAnsi"/>
                <w:b/>
                <w:color w:val="BF8F00" w:themeColor="accent4" w:themeShade="BF"/>
                <w:sz w:val="19"/>
                <w:szCs w:val="19"/>
              </w:rPr>
              <w:t xml:space="preserve">Reporting systems in school </w:t>
            </w:r>
          </w:p>
        </w:tc>
        <w:tc>
          <w:tcPr>
            <w:tcW w:w="5244" w:type="dxa"/>
          </w:tcPr>
          <w:p w14:paraId="5E1286C6" w14:textId="77777777" w:rsidR="00FA26CA" w:rsidRPr="00637966" w:rsidRDefault="00FA26CA" w:rsidP="00FA26CA">
            <w:pPr>
              <w:rPr>
                <w:rFonts w:cstheme="minorHAnsi"/>
                <w:bCs/>
                <w:sz w:val="19"/>
                <w:szCs w:val="19"/>
              </w:rPr>
            </w:pPr>
            <w:r w:rsidRPr="00637966">
              <w:rPr>
                <w:rFonts w:cstheme="minorHAnsi"/>
                <w:bCs/>
                <w:sz w:val="19"/>
                <w:szCs w:val="19"/>
              </w:rPr>
              <w:t xml:space="preserve">Ensure </w:t>
            </w:r>
            <w:r w:rsidRPr="00EA6EC0">
              <w:rPr>
                <w:rFonts w:cstheme="minorHAnsi"/>
                <w:bCs/>
                <w:sz w:val="19"/>
                <w:szCs w:val="19"/>
                <w:u w:val="single"/>
              </w:rPr>
              <w:t>all staff</w:t>
            </w:r>
            <w:r w:rsidRPr="00637966">
              <w:rPr>
                <w:rFonts w:cstheme="minorHAnsi"/>
                <w:bCs/>
                <w:sz w:val="19"/>
                <w:szCs w:val="19"/>
              </w:rPr>
              <w:t xml:space="preserve"> </w:t>
            </w:r>
            <w:r>
              <w:rPr>
                <w:rFonts w:cstheme="minorHAnsi"/>
                <w:bCs/>
                <w:sz w:val="19"/>
                <w:szCs w:val="19"/>
              </w:rPr>
              <w:t>are aware of all</w:t>
            </w:r>
            <w:r w:rsidRPr="00637966">
              <w:rPr>
                <w:rFonts w:cstheme="minorHAnsi"/>
                <w:bCs/>
                <w:sz w:val="19"/>
                <w:szCs w:val="19"/>
              </w:rPr>
              <w:t xml:space="preserve"> internal reporting systems in school and how to use them </w:t>
            </w:r>
          </w:p>
        </w:tc>
        <w:tc>
          <w:tcPr>
            <w:tcW w:w="2268" w:type="dxa"/>
          </w:tcPr>
          <w:p w14:paraId="07C93532" w14:textId="77777777" w:rsidR="00FA26CA" w:rsidRPr="000163A1" w:rsidRDefault="00FA26CA" w:rsidP="00FA26CA">
            <w:pPr>
              <w:rPr>
                <w:rFonts w:cstheme="minorHAnsi"/>
                <w:bCs/>
                <w:color w:val="BF8F00" w:themeColor="accent4" w:themeShade="BF"/>
                <w:sz w:val="19"/>
                <w:szCs w:val="19"/>
              </w:rPr>
            </w:pPr>
          </w:p>
        </w:tc>
      </w:tr>
      <w:tr w:rsidR="00FA26CA" w14:paraId="6922859B" w14:textId="77777777" w:rsidTr="00FA26CA">
        <w:tc>
          <w:tcPr>
            <w:tcW w:w="3256" w:type="dxa"/>
          </w:tcPr>
          <w:p w14:paraId="263B7F79" w14:textId="77777777" w:rsidR="00FA26CA" w:rsidRPr="00EB3824" w:rsidRDefault="00FA26CA" w:rsidP="00FA26CA">
            <w:pPr>
              <w:pStyle w:val="ListParagraph"/>
              <w:numPr>
                <w:ilvl w:val="0"/>
                <w:numId w:val="1"/>
              </w:numPr>
              <w:rPr>
                <w:rFonts w:cstheme="minorHAnsi"/>
                <w:b/>
                <w:color w:val="BF8F00" w:themeColor="accent4" w:themeShade="BF"/>
                <w:sz w:val="19"/>
                <w:szCs w:val="19"/>
              </w:rPr>
            </w:pPr>
            <w:r w:rsidRPr="00EB3824">
              <w:rPr>
                <w:rFonts w:cstheme="minorHAnsi"/>
                <w:b/>
                <w:color w:val="BF8F00" w:themeColor="accent4" w:themeShade="BF"/>
                <w:sz w:val="19"/>
                <w:szCs w:val="19"/>
              </w:rPr>
              <w:t xml:space="preserve">Identify hot spots in school </w:t>
            </w:r>
          </w:p>
        </w:tc>
        <w:tc>
          <w:tcPr>
            <w:tcW w:w="5244" w:type="dxa"/>
          </w:tcPr>
          <w:p w14:paraId="53961A4D" w14:textId="77777777" w:rsidR="00FA26CA" w:rsidRPr="00637966" w:rsidRDefault="00FA26CA" w:rsidP="00FA26CA">
            <w:pPr>
              <w:rPr>
                <w:rFonts w:cstheme="minorHAnsi"/>
                <w:bCs/>
                <w:sz w:val="19"/>
                <w:szCs w:val="19"/>
              </w:rPr>
            </w:pPr>
            <w:r>
              <w:rPr>
                <w:rFonts w:cstheme="minorHAnsi"/>
                <w:bCs/>
                <w:sz w:val="19"/>
                <w:szCs w:val="19"/>
              </w:rPr>
              <w:t>SLT to i</w:t>
            </w:r>
            <w:r w:rsidRPr="00637966">
              <w:rPr>
                <w:rFonts w:cstheme="minorHAnsi"/>
                <w:bCs/>
                <w:sz w:val="19"/>
                <w:szCs w:val="19"/>
              </w:rPr>
              <w:t>dentify hot spots on school sites and increase supervision to make it safer (</w:t>
            </w:r>
            <w:proofErr w:type="gramStart"/>
            <w:r w:rsidRPr="00637966">
              <w:rPr>
                <w:rFonts w:cstheme="minorHAnsi"/>
                <w:bCs/>
                <w:sz w:val="19"/>
                <w:szCs w:val="19"/>
              </w:rPr>
              <w:t>e.g.</w:t>
            </w:r>
            <w:proofErr w:type="gramEnd"/>
            <w:r w:rsidRPr="00637966">
              <w:rPr>
                <w:rFonts w:cstheme="minorHAnsi"/>
                <w:bCs/>
                <w:sz w:val="19"/>
                <w:szCs w:val="19"/>
              </w:rPr>
              <w:t xml:space="preserve"> corridors, playground, toilets, queues) </w:t>
            </w:r>
          </w:p>
        </w:tc>
        <w:tc>
          <w:tcPr>
            <w:tcW w:w="2268" w:type="dxa"/>
          </w:tcPr>
          <w:p w14:paraId="407BD18B" w14:textId="77777777" w:rsidR="00FA26CA" w:rsidRPr="000163A1" w:rsidRDefault="00FA26CA" w:rsidP="00FA26CA">
            <w:pPr>
              <w:rPr>
                <w:rFonts w:cstheme="minorHAnsi"/>
                <w:bCs/>
                <w:color w:val="BF8F00" w:themeColor="accent4" w:themeShade="BF"/>
                <w:sz w:val="19"/>
                <w:szCs w:val="19"/>
              </w:rPr>
            </w:pPr>
          </w:p>
        </w:tc>
      </w:tr>
      <w:tr w:rsidR="00FA26CA" w14:paraId="05A3A0C6" w14:textId="77777777" w:rsidTr="00FA26CA">
        <w:tc>
          <w:tcPr>
            <w:tcW w:w="3256" w:type="dxa"/>
          </w:tcPr>
          <w:p w14:paraId="6C6C696B" w14:textId="77777777" w:rsidR="00FA26CA" w:rsidRPr="00EB3824" w:rsidRDefault="00FA26CA" w:rsidP="00FA26CA">
            <w:pPr>
              <w:pStyle w:val="ListParagraph"/>
              <w:numPr>
                <w:ilvl w:val="0"/>
                <w:numId w:val="1"/>
              </w:numPr>
              <w:rPr>
                <w:rFonts w:cstheme="minorHAnsi"/>
                <w:b/>
                <w:color w:val="BF8F00" w:themeColor="accent4" w:themeShade="BF"/>
                <w:sz w:val="19"/>
                <w:szCs w:val="19"/>
              </w:rPr>
            </w:pPr>
            <w:r w:rsidRPr="00EB3824">
              <w:rPr>
                <w:rFonts w:cstheme="minorHAnsi"/>
                <w:b/>
                <w:color w:val="BF8F00" w:themeColor="accent4" w:themeShade="BF"/>
                <w:sz w:val="19"/>
                <w:szCs w:val="19"/>
              </w:rPr>
              <w:t xml:space="preserve">Understand the drivers behind behaviour </w:t>
            </w:r>
          </w:p>
        </w:tc>
        <w:tc>
          <w:tcPr>
            <w:tcW w:w="5244" w:type="dxa"/>
          </w:tcPr>
          <w:p w14:paraId="16150D1C" w14:textId="77777777" w:rsidR="00FA26CA" w:rsidRPr="00637966" w:rsidRDefault="00FA26CA" w:rsidP="00FA26CA">
            <w:pPr>
              <w:rPr>
                <w:rFonts w:cstheme="minorHAnsi"/>
                <w:bCs/>
                <w:sz w:val="19"/>
                <w:szCs w:val="19"/>
              </w:rPr>
            </w:pPr>
            <w:r w:rsidRPr="00637966">
              <w:rPr>
                <w:rFonts w:ascii="Calibri" w:eastAsia="Calibri" w:hAnsi="Calibri" w:cs="Calibri"/>
                <w:sz w:val="19"/>
                <w:szCs w:val="19"/>
              </w:rPr>
              <w:t>Children and young people are very different from adults and those who display Harmful Sexual Behaviour are a complex group with different needs.  In many cases, the origins of childhood sexual behaviour problems are likely to be a combination of abuse experiences, family, social, economic, and developmental factors. Contributing factors may include maltreatment, poor parenting practices, exposure to sexually explicit material or highly sexualized environments, and family violence.  It is important to note that, although some children who display HSB may have been sexually abused in their past this is not always the case and should not be assumed.</w:t>
            </w:r>
          </w:p>
        </w:tc>
        <w:tc>
          <w:tcPr>
            <w:tcW w:w="2268" w:type="dxa"/>
          </w:tcPr>
          <w:p w14:paraId="40A4998E" w14:textId="77777777" w:rsidR="00FA26CA" w:rsidRPr="000163A1" w:rsidRDefault="00FA26CA" w:rsidP="00FA26CA">
            <w:pPr>
              <w:rPr>
                <w:rFonts w:cstheme="minorHAnsi"/>
                <w:bCs/>
                <w:color w:val="BF8F00" w:themeColor="accent4" w:themeShade="BF"/>
                <w:sz w:val="19"/>
                <w:szCs w:val="19"/>
              </w:rPr>
            </w:pPr>
          </w:p>
        </w:tc>
      </w:tr>
      <w:tr w:rsidR="00FA26CA" w14:paraId="59EEF70C" w14:textId="77777777" w:rsidTr="00FA26CA">
        <w:tc>
          <w:tcPr>
            <w:tcW w:w="3256" w:type="dxa"/>
          </w:tcPr>
          <w:p w14:paraId="715B8AA4" w14:textId="77777777" w:rsidR="00FA26CA" w:rsidRPr="00EB3824" w:rsidRDefault="00FA26CA" w:rsidP="00FA26CA">
            <w:pPr>
              <w:pStyle w:val="ListParagraph"/>
              <w:numPr>
                <w:ilvl w:val="0"/>
                <w:numId w:val="1"/>
              </w:numPr>
              <w:rPr>
                <w:rFonts w:cstheme="minorHAnsi"/>
                <w:b/>
                <w:color w:val="BF8F00" w:themeColor="accent4" w:themeShade="BF"/>
                <w:sz w:val="19"/>
                <w:szCs w:val="19"/>
              </w:rPr>
            </w:pPr>
            <w:r w:rsidRPr="00EB3824">
              <w:rPr>
                <w:rFonts w:cstheme="minorHAnsi"/>
                <w:b/>
                <w:color w:val="BF8F00" w:themeColor="accent4" w:themeShade="BF"/>
                <w:sz w:val="19"/>
                <w:szCs w:val="19"/>
              </w:rPr>
              <w:t xml:space="preserve">Clear policies on recording </w:t>
            </w:r>
            <w:proofErr w:type="gramStart"/>
            <w:r w:rsidRPr="00EB3824">
              <w:rPr>
                <w:rFonts w:cstheme="minorHAnsi"/>
                <w:b/>
                <w:color w:val="BF8F00" w:themeColor="accent4" w:themeShade="BF"/>
                <w:sz w:val="19"/>
                <w:szCs w:val="19"/>
              </w:rPr>
              <w:t>all of</w:t>
            </w:r>
            <w:proofErr w:type="gramEnd"/>
            <w:r w:rsidRPr="00EB3824">
              <w:rPr>
                <w:rFonts w:cstheme="minorHAnsi"/>
                <w:b/>
                <w:color w:val="BF8F00" w:themeColor="accent4" w:themeShade="BF"/>
                <w:sz w:val="19"/>
                <w:szCs w:val="19"/>
              </w:rPr>
              <w:t xml:space="preserve"> the incidents </w:t>
            </w:r>
          </w:p>
        </w:tc>
        <w:tc>
          <w:tcPr>
            <w:tcW w:w="5244" w:type="dxa"/>
          </w:tcPr>
          <w:p w14:paraId="5FE2B70D" w14:textId="77777777" w:rsidR="00FA26CA" w:rsidRPr="00637966" w:rsidRDefault="00FA26CA" w:rsidP="00FA26CA">
            <w:pPr>
              <w:rPr>
                <w:rFonts w:cstheme="minorHAnsi"/>
                <w:b/>
                <w:sz w:val="19"/>
                <w:szCs w:val="19"/>
              </w:rPr>
            </w:pPr>
            <w:r w:rsidRPr="00637966">
              <w:rPr>
                <w:sz w:val="19"/>
                <w:szCs w:val="19"/>
              </w:rPr>
              <w:t xml:space="preserve">Use common language (Hackett Continuum).  </w:t>
            </w:r>
            <w:r w:rsidRPr="00637966">
              <w:rPr>
                <w:sz w:val="19"/>
                <w:szCs w:val="19"/>
              </w:rPr>
              <w:br/>
              <w:t xml:space="preserve">Alongside the notion of the continuum of harmful sexual behaviour, the Brook traffic light tool (Brook, 2021) can help professionals to identify levels of concern and provide a prompt for responding proportionately.  </w:t>
            </w:r>
          </w:p>
        </w:tc>
        <w:tc>
          <w:tcPr>
            <w:tcW w:w="2268" w:type="dxa"/>
          </w:tcPr>
          <w:p w14:paraId="17956922" w14:textId="77777777" w:rsidR="00FA26CA" w:rsidRPr="000163A1" w:rsidRDefault="00FA26CA" w:rsidP="00FA26CA">
            <w:pPr>
              <w:rPr>
                <w:rFonts w:cstheme="minorHAnsi"/>
                <w:bCs/>
                <w:color w:val="BF8F00" w:themeColor="accent4" w:themeShade="BF"/>
                <w:sz w:val="19"/>
                <w:szCs w:val="19"/>
              </w:rPr>
            </w:pPr>
          </w:p>
        </w:tc>
      </w:tr>
      <w:tr w:rsidR="00FA26CA" w14:paraId="39F20B7A" w14:textId="77777777" w:rsidTr="00FA26CA">
        <w:tc>
          <w:tcPr>
            <w:tcW w:w="3256" w:type="dxa"/>
          </w:tcPr>
          <w:p w14:paraId="3F885BF4" w14:textId="77777777" w:rsidR="00FA26CA" w:rsidRPr="00EB3824" w:rsidRDefault="00FA26CA" w:rsidP="00FA26CA">
            <w:pPr>
              <w:pStyle w:val="ListParagraph"/>
              <w:numPr>
                <w:ilvl w:val="0"/>
                <w:numId w:val="1"/>
              </w:numPr>
              <w:rPr>
                <w:rFonts w:cstheme="minorHAnsi"/>
                <w:b/>
                <w:color w:val="BF8F00" w:themeColor="accent4" w:themeShade="BF"/>
                <w:sz w:val="19"/>
                <w:szCs w:val="19"/>
              </w:rPr>
            </w:pPr>
            <w:r w:rsidRPr="00EB3824">
              <w:rPr>
                <w:rFonts w:cstheme="minorHAnsi"/>
                <w:b/>
                <w:color w:val="BF8F00" w:themeColor="accent4" w:themeShade="BF"/>
                <w:sz w:val="19"/>
                <w:szCs w:val="19"/>
              </w:rPr>
              <w:t xml:space="preserve">Staff training </w:t>
            </w:r>
          </w:p>
        </w:tc>
        <w:tc>
          <w:tcPr>
            <w:tcW w:w="5244" w:type="dxa"/>
          </w:tcPr>
          <w:p w14:paraId="6D3C7C40" w14:textId="77777777" w:rsidR="00FA26CA" w:rsidRPr="0035177B" w:rsidRDefault="00FA26CA" w:rsidP="00FA26CA">
            <w:pPr>
              <w:rPr>
                <w:b/>
                <w:bCs/>
                <w:sz w:val="19"/>
                <w:szCs w:val="19"/>
              </w:rPr>
            </w:pPr>
            <w:r w:rsidRPr="00637966">
              <w:rPr>
                <w:sz w:val="19"/>
                <w:szCs w:val="19"/>
              </w:rPr>
              <w:t xml:space="preserve">All staff need to have confidence to respond appropriately and consistently to any concerns. understanding childhood sexual development can help to recognise which sexual behaviours are developmentally typical and identify if a child is displaying behaviour that is problematic or harmful.  </w:t>
            </w:r>
          </w:p>
        </w:tc>
        <w:tc>
          <w:tcPr>
            <w:tcW w:w="2268" w:type="dxa"/>
          </w:tcPr>
          <w:p w14:paraId="44779092" w14:textId="77777777" w:rsidR="00FA26CA" w:rsidRPr="00637966" w:rsidRDefault="00FA26CA" w:rsidP="00FA26CA">
            <w:pPr>
              <w:rPr>
                <w:rFonts w:cstheme="minorHAnsi"/>
                <w:bCs/>
                <w:color w:val="BF8F00" w:themeColor="accent4" w:themeShade="BF"/>
                <w:sz w:val="19"/>
                <w:szCs w:val="19"/>
              </w:rPr>
            </w:pPr>
          </w:p>
        </w:tc>
      </w:tr>
      <w:tr w:rsidR="00FA26CA" w14:paraId="6AF67257" w14:textId="77777777" w:rsidTr="00FA26CA">
        <w:tc>
          <w:tcPr>
            <w:tcW w:w="3256" w:type="dxa"/>
          </w:tcPr>
          <w:p w14:paraId="15AF2A61" w14:textId="77777777" w:rsidR="00FA26CA" w:rsidRPr="00EB3824" w:rsidRDefault="00FA26CA" w:rsidP="00FA26CA">
            <w:pPr>
              <w:pStyle w:val="ListParagraph"/>
              <w:numPr>
                <w:ilvl w:val="0"/>
                <w:numId w:val="1"/>
              </w:numPr>
              <w:rPr>
                <w:rFonts w:cstheme="minorHAnsi"/>
                <w:b/>
                <w:color w:val="BF8F00" w:themeColor="accent4" w:themeShade="BF"/>
                <w:sz w:val="19"/>
                <w:szCs w:val="19"/>
              </w:rPr>
            </w:pPr>
            <w:r w:rsidRPr="00EB3824">
              <w:rPr>
                <w:rFonts w:cstheme="minorHAnsi"/>
                <w:b/>
                <w:color w:val="BF8F00" w:themeColor="accent4" w:themeShade="BF"/>
                <w:sz w:val="19"/>
                <w:szCs w:val="19"/>
              </w:rPr>
              <w:t xml:space="preserve">Future prevention </w:t>
            </w:r>
          </w:p>
        </w:tc>
        <w:tc>
          <w:tcPr>
            <w:tcW w:w="5244" w:type="dxa"/>
          </w:tcPr>
          <w:p w14:paraId="7BF983A8" w14:textId="77777777" w:rsidR="00FA26CA" w:rsidRPr="00637966" w:rsidRDefault="00FA26CA" w:rsidP="00FA26CA">
            <w:pPr>
              <w:rPr>
                <w:rFonts w:cstheme="minorHAnsi"/>
                <w:bCs/>
                <w:sz w:val="19"/>
                <w:szCs w:val="19"/>
              </w:rPr>
            </w:pPr>
            <w:r w:rsidRPr="00637966">
              <w:rPr>
                <w:rFonts w:cstheme="minorHAnsi"/>
                <w:bCs/>
                <w:sz w:val="19"/>
                <w:szCs w:val="19"/>
              </w:rPr>
              <w:t xml:space="preserve">Ensure you regularly review your </w:t>
            </w:r>
            <w:proofErr w:type="gramStart"/>
            <w:r w:rsidRPr="00637966">
              <w:rPr>
                <w:rFonts w:cstheme="minorHAnsi"/>
                <w:bCs/>
                <w:sz w:val="19"/>
                <w:szCs w:val="19"/>
              </w:rPr>
              <w:t>schools</w:t>
            </w:r>
            <w:proofErr w:type="gramEnd"/>
            <w:r w:rsidRPr="00637966">
              <w:rPr>
                <w:rFonts w:cstheme="minorHAnsi"/>
                <w:bCs/>
                <w:sz w:val="19"/>
                <w:szCs w:val="19"/>
              </w:rPr>
              <w:t xml:space="preserve"> response to the management of child-on-child harmful sexual behaviour via learning lesson reviews.  </w:t>
            </w:r>
          </w:p>
        </w:tc>
        <w:tc>
          <w:tcPr>
            <w:tcW w:w="2268" w:type="dxa"/>
          </w:tcPr>
          <w:p w14:paraId="2E3CBB9E" w14:textId="77777777" w:rsidR="00FA26CA" w:rsidRPr="00637966" w:rsidRDefault="00FA26CA" w:rsidP="00FA26CA">
            <w:pPr>
              <w:rPr>
                <w:rFonts w:cstheme="minorHAnsi"/>
                <w:bCs/>
                <w:color w:val="BF8F00" w:themeColor="accent4" w:themeShade="BF"/>
                <w:sz w:val="19"/>
                <w:szCs w:val="19"/>
              </w:rPr>
            </w:pPr>
          </w:p>
        </w:tc>
      </w:tr>
      <w:tr w:rsidR="00FA26CA" w14:paraId="0EA540C0" w14:textId="77777777" w:rsidTr="00FA26CA">
        <w:tc>
          <w:tcPr>
            <w:tcW w:w="3256" w:type="dxa"/>
          </w:tcPr>
          <w:p w14:paraId="0B8D5A8F" w14:textId="77777777" w:rsidR="00FA26CA" w:rsidRPr="00EB3824" w:rsidRDefault="00FA26CA" w:rsidP="00FA26CA">
            <w:pPr>
              <w:pStyle w:val="ListParagraph"/>
              <w:numPr>
                <w:ilvl w:val="0"/>
                <w:numId w:val="1"/>
              </w:numPr>
              <w:rPr>
                <w:rFonts w:cstheme="minorHAnsi"/>
                <w:b/>
                <w:color w:val="BF8F00" w:themeColor="accent4" w:themeShade="BF"/>
                <w:sz w:val="19"/>
                <w:szCs w:val="19"/>
              </w:rPr>
            </w:pPr>
            <w:r w:rsidRPr="00EB3824">
              <w:rPr>
                <w:rFonts w:cstheme="minorHAnsi"/>
                <w:b/>
                <w:color w:val="BF8F00" w:themeColor="accent4" w:themeShade="BF"/>
                <w:sz w:val="19"/>
                <w:szCs w:val="19"/>
              </w:rPr>
              <w:t>Embed a whole school approach</w:t>
            </w:r>
          </w:p>
        </w:tc>
        <w:tc>
          <w:tcPr>
            <w:tcW w:w="5244" w:type="dxa"/>
          </w:tcPr>
          <w:p w14:paraId="48D7E99B" w14:textId="77777777" w:rsidR="00FA26CA" w:rsidRPr="009A4F49" w:rsidRDefault="00FA26CA" w:rsidP="00FA26CA">
            <w:pPr>
              <w:rPr>
                <w:rFonts w:cstheme="minorHAnsi"/>
                <w:bCs/>
                <w:sz w:val="19"/>
                <w:szCs w:val="19"/>
              </w:rPr>
            </w:pPr>
            <w:r w:rsidRPr="009A4F49">
              <w:rPr>
                <w:rFonts w:cstheme="minorHAnsi"/>
                <w:bCs/>
                <w:sz w:val="19"/>
                <w:szCs w:val="19"/>
              </w:rPr>
              <w:t>Safeguarding audit to be completed annually</w:t>
            </w:r>
          </w:p>
          <w:p w14:paraId="1E29A7FE" w14:textId="77777777" w:rsidR="00FA26CA" w:rsidRPr="00637966" w:rsidRDefault="00FA26CA" w:rsidP="00FA26CA">
            <w:pPr>
              <w:rPr>
                <w:rFonts w:cstheme="minorHAnsi"/>
                <w:bCs/>
                <w:sz w:val="19"/>
                <w:szCs w:val="19"/>
              </w:rPr>
            </w:pPr>
            <w:r w:rsidRPr="009A4F49">
              <w:rPr>
                <w:rFonts w:cstheme="minorHAnsi"/>
                <w:bCs/>
                <w:sz w:val="19"/>
                <w:szCs w:val="19"/>
              </w:rPr>
              <w:t>To ensure your overarching safeguarding statement reflects your culture</w:t>
            </w:r>
            <w:r>
              <w:rPr>
                <w:rFonts w:cstheme="minorHAnsi"/>
                <w:bCs/>
                <w:sz w:val="19"/>
                <w:szCs w:val="19"/>
              </w:rPr>
              <w:t xml:space="preserve"> </w:t>
            </w:r>
          </w:p>
        </w:tc>
        <w:tc>
          <w:tcPr>
            <w:tcW w:w="2268" w:type="dxa"/>
          </w:tcPr>
          <w:p w14:paraId="3F1E7618" w14:textId="77777777" w:rsidR="00FA26CA" w:rsidRPr="00637966" w:rsidRDefault="00FA26CA" w:rsidP="00FA26CA">
            <w:pPr>
              <w:rPr>
                <w:rFonts w:cstheme="minorHAnsi"/>
                <w:bCs/>
                <w:color w:val="BF8F00" w:themeColor="accent4" w:themeShade="BF"/>
                <w:sz w:val="19"/>
                <w:szCs w:val="19"/>
              </w:rPr>
            </w:pPr>
          </w:p>
        </w:tc>
      </w:tr>
      <w:tr w:rsidR="00FA26CA" w14:paraId="14063BEB" w14:textId="77777777" w:rsidTr="00FA26CA">
        <w:tc>
          <w:tcPr>
            <w:tcW w:w="3256" w:type="dxa"/>
          </w:tcPr>
          <w:p w14:paraId="74B1CAE8" w14:textId="77777777" w:rsidR="00FA26CA" w:rsidRPr="00EB3824" w:rsidRDefault="00FA26CA" w:rsidP="00FA26CA">
            <w:pPr>
              <w:pStyle w:val="ListParagraph"/>
              <w:numPr>
                <w:ilvl w:val="0"/>
                <w:numId w:val="1"/>
              </w:numPr>
              <w:rPr>
                <w:rFonts w:cstheme="minorHAnsi"/>
                <w:b/>
                <w:color w:val="BF8F00" w:themeColor="accent4" w:themeShade="BF"/>
                <w:sz w:val="19"/>
                <w:szCs w:val="19"/>
              </w:rPr>
            </w:pPr>
            <w:r>
              <w:rPr>
                <w:rFonts w:cstheme="minorHAnsi"/>
                <w:b/>
                <w:color w:val="BF8F00" w:themeColor="accent4" w:themeShade="BF"/>
                <w:sz w:val="19"/>
                <w:szCs w:val="19"/>
              </w:rPr>
              <w:t xml:space="preserve">Embedding Safeguarding and other Polices </w:t>
            </w:r>
          </w:p>
        </w:tc>
        <w:tc>
          <w:tcPr>
            <w:tcW w:w="5244" w:type="dxa"/>
          </w:tcPr>
          <w:p w14:paraId="63C21938" w14:textId="77777777" w:rsidR="00FA26CA" w:rsidRPr="00637966" w:rsidRDefault="00FA26CA" w:rsidP="00FA26CA">
            <w:pPr>
              <w:rPr>
                <w:sz w:val="19"/>
                <w:szCs w:val="19"/>
              </w:rPr>
            </w:pPr>
            <w:r w:rsidRPr="00637966">
              <w:rPr>
                <w:sz w:val="19"/>
                <w:szCs w:val="19"/>
              </w:rPr>
              <w:t xml:space="preserve">Schools have a key role to play in the primary prevention of harmful sexual behaviours via a range of initiatives; provision of quality advice and work with children, young </w:t>
            </w:r>
            <w:proofErr w:type="gramStart"/>
            <w:r w:rsidRPr="00637966">
              <w:rPr>
                <w:sz w:val="19"/>
                <w:szCs w:val="19"/>
              </w:rPr>
              <w:t>people</w:t>
            </w:r>
            <w:proofErr w:type="gramEnd"/>
            <w:r w:rsidRPr="00637966">
              <w:rPr>
                <w:sz w:val="19"/>
                <w:szCs w:val="19"/>
              </w:rPr>
              <w:t xml:space="preserve"> and their families; and sensitive risk and casework management </w:t>
            </w:r>
          </w:p>
          <w:p w14:paraId="284E6BC3" w14:textId="77777777" w:rsidR="00FA26CA" w:rsidRPr="00637966" w:rsidRDefault="00FA26CA" w:rsidP="00FA26CA">
            <w:pPr>
              <w:rPr>
                <w:sz w:val="19"/>
                <w:szCs w:val="19"/>
              </w:rPr>
            </w:pPr>
          </w:p>
        </w:tc>
        <w:tc>
          <w:tcPr>
            <w:tcW w:w="2268" w:type="dxa"/>
          </w:tcPr>
          <w:p w14:paraId="6388D953" w14:textId="77777777" w:rsidR="00FA26CA" w:rsidRPr="00637966" w:rsidRDefault="00FA26CA" w:rsidP="00FA26CA">
            <w:pPr>
              <w:rPr>
                <w:rFonts w:cstheme="minorHAnsi"/>
                <w:bCs/>
                <w:color w:val="BF8F00" w:themeColor="accent4" w:themeShade="BF"/>
                <w:sz w:val="19"/>
                <w:szCs w:val="19"/>
              </w:rPr>
            </w:pPr>
          </w:p>
        </w:tc>
      </w:tr>
      <w:tr w:rsidR="00FA26CA" w14:paraId="1EA3CFDC" w14:textId="77777777" w:rsidTr="00FA26CA">
        <w:tc>
          <w:tcPr>
            <w:tcW w:w="3256" w:type="dxa"/>
          </w:tcPr>
          <w:p w14:paraId="4E355606" w14:textId="77777777" w:rsidR="00FA26CA" w:rsidRPr="00EB3824" w:rsidRDefault="00FA26CA" w:rsidP="00FA26CA">
            <w:pPr>
              <w:pStyle w:val="ListParagraph"/>
              <w:numPr>
                <w:ilvl w:val="0"/>
                <w:numId w:val="1"/>
              </w:numPr>
              <w:rPr>
                <w:rFonts w:cstheme="minorHAnsi"/>
                <w:b/>
                <w:color w:val="BF8F00" w:themeColor="accent4" w:themeShade="BF"/>
                <w:sz w:val="19"/>
                <w:szCs w:val="19"/>
              </w:rPr>
            </w:pPr>
            <w:r w:rsidRPr="00EB3824">
              <w:rPr>
                <w:rFonts w:cstheme="minorHAnsi"/>
                <w:b/>
                <w:color w:val="BF8F00" w:themeColor="accent4" w:themeShade="BF"/>
                <w:sz w:val="19"/>
                <w:szCs w:val="19"/>
              </w:rPr>
              <w:t xml:space="preserve">Promote healthy relationships through quality and inclusive PSHE &amp; RSE </w:t>
            </w:r>
          </w:p>
        </w:tc>
        <w:tc>
          <w:tcPr>
            <w:tcW w:w="5244" w:type="dxa"/>
          </w:tcPr>
          <w:p w14:paraId="6F321219" w14:textId="77777777" w:rsidR="00FA26CA" w:rsidRDefault="00FA26CA" w:rsidP="00FA26CA">
            <w:pPr>
              <w:rPr>
                <w:sz w:val="19"/>
                <w:szCs w:val="19"/>
              </w:rPr>
            </w:pPr>
            <w:r w:rsidRPr="009A4F49">
              <w:rPr>
                <w:sz w:val="19"/>
                <w:szCs w:val="19"/>
              </w:rPr>
              <w:t>Schools to ensure PSHE curriculum mapping is in place</w:t>
            </w:r>
            <w:r>
              <w:rPr>
                <w:sz w:val="19"/>
                <w:szCs w:val="19"/>
              </w:rPr>
              <w:t xml:space="preserve"> </w:t>
            </w:r>
          </w:p>
          <w:p w14:paraId="6EED34D4" w14:textId="77777777" w:rsidR="00FA26CA" w:rsidRPr="00637966" w:rsidRDefault="00FA26CA" w:rsidP="00FA26CA">
            <w:pPr>
              <w:rPr>
                <w:sz w:val="19"/>
                <w:szCs w:val="19"/>
              </w:rPr>
            </w:pPr>
            <w:r>
              <w:rPr>
                <w:sz w:val="19"/>
                <w:szCs w:val="19"/>
              </w:rPr>
              <w:t>Incorporate external interventions and inputs into your PSHE offer</w:t>
            </w:r>
          </w:p>
        </w:tc>
        <w:tc>
          <w:tcPr>
            <w:tcW w:w="2268" w:type="dxa"/>
          </w:tcPr>
          <w:p w14:paraId="1D108AA6" w14:textId="77777777" w:rsidR="00FA26CA" w:rsidRPr="00637966" w:rsidRDefault="00FA26CA" w:rsidP="00FA26CA">
            <w:pPr>
              <w:rPr>
                <w:rFonts w:cstheme="minorHAnsi"/>
                <w:bCs/>
                <w:color w:val="BF8F00" w:themeColor="accent4" w:themeShade="BF"/>
                <w:sz w:val="19"/>
                <w:szCs w:val="19"/>
              </w:rPr>
            </w:pPr>
          </w:p>
        </w:tc>
      </w:tr>
      <w:tr w:rsidR="00FA26CA" w14:paraId="355D129A" w14:textId="77777777" w:rsidTr="00FA26CA">
        <w:tc>
          <w:tcPr>
            <w:tcW w:w="3256" w:type="dxa"/>
          </w:tcPr>
          <w:p w14:paraId="0D69DE53" w14:textId="77777777" w:rsidR="00FA26CA" w:rsidRPr="00EB3824" w:rsidRDefault="00FA26CA" w:rsidP="00FA26CA">
            <w:pPr>
              <w:pStyle w:val="ListParagraph"/>
              <w:numPr>
                <w:ilvl w:val="0"/>
                <w:numId w:val="1"/>
              </w:numPr>
              <w:rPr>
                <w:rFonts w:cstheme="minorHAnsi"/>
                <w:b/>
                <w:color w:val="BF8F00" w:themeColor="accent4" w:themeShade="BF"/>
                <w:sz w:val="19"/>
                <w:szCs w:val="19"/>
              </w:rPr>
            </w:pPr>
            <w:r w:rsidRPr="00EB3824">
              <w:rPr>
                <w:rFonts w:cstheme="minorHAnsi"/>
                <w:b/>
                <w:color w:val="BF8F00" w:themeColor="accent4" w:themeShade="BF"/>
                <w:sz w:val="19"/>
                <w:szCs w:val="19"/>
              </w:rPr>
              <w:t xml:space="preserve">Focus on a cultural shift </w:t>
            </w:r>
          </w:p>
          <w:p w14:paraId="3182E0DB" w14:textId="77777777" w:rsidR="00FA26CA" w:rsidRPr="00EB3824" w:rsidRDefault="00FA26CA" w:rsidP="00FA26CA">
            <w:pPr>
              <w:pStyle w:val="ListParagraph"/>
              <w:rPr>
                <w:rFonts w:cstheme="minorHAnsi"/>
                <w:b/>
                <w:color w:val="BF8F00" w:themeColor="accent4" w:themeShade="BF"/>
                <w:sz w:val="19"/>
                <w:szCs w:val="19"/>
              </w:rPr>
            </w:pPr>
          </w:p>
        </w:tc>
        <w:tc>
          <w:tcPr>
            <w:tcW w:w="5244" w:type="dxa"/>
          </w:tcPr>
          <w:p w14:paraId="04F90F13" w14:textId="77777777" w:rsidR="00FA26CA" w:rsidRPr="009A4F49" w:rsidRDefault="00FA26CA" w:rsidP="00FA26CA">
            <w:pPr>
              <w:rPr>
                <w:sz w:val="19"/>
                <w:szCs w:val="19"/>
              </w:rPr>
            </w:pPr>
            <w:r w:rsidRPr="009A4F49">
              <w:rPr>
                <w:sz w:val="19"/>
                <w:szCs w:val="19"/>
              </w:rPr>
              <w:t xml:space="preserve">Schools to maintain on-going vigilance with induction of new staff and continue to provide training and support to all staff – including </w:t>
            </w:r>
            <w:r>
              <w:rPr>
                <w:sz w:val="19"/>
                <w:szCs w:val="19"/>
              </w:rPr>
              <w:t xml:space="preserve">lessons learnt reviews </w:t>
            </w:r>
            <w:r w:rsidRPr="009A4F49">
              <w:rPr>
                <w:sz w:val="19"/>
                <w:szCs w:val="19"/>
              </w:rPr>
              <w:t xml:space="preserve"> </w:t>
            </w:r>
          </w:p>
        </w:tc>
        <w:tc>
          <w:tcPr>
            <w:tcW w:w="2268" w:type="dxa"/>
          </w:tcPr>
          <w:p w14:paraId="61C3F363" w14:textId="77777777" w:rsidR="00FA26CA" w:rsidRPr="00637966" w:rsidRDefault="00FA26CA" w:rsidP="00FA26CA">
            <w:pPr>
              <w:rPr>
                <w:rFonts w:cstheme="minorHAnsi"/>
                <w:bCs/>
                <w:color w:val="BF8F00" w:themeColor="accent4" w:themeShade="BF"/>
                <w:sz w:val="19"/>
                <w:szCs w:val="19"/>
              </w:rPr>
            </w:pPr>
          </w:p>
        </w:tc>
      </w:tr>
    </w:tbl>
    <w:p w14:paraId="581A965E" w14:textId="77777777" w:rsidR="00FA26CA" w:rsidRDefault="00FA26CA"/>
    <w:sectPr w:rsidR="00FA26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C7771"/>
    <w:multiLevelType w:val="hybridMultilevel"/>
    <w:tmpl w:val="D9984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6CA"/>
    <w:rsid w:val="00FA2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5FE8B"/>
  <w15:chartTrackingRefBased/>
  <w15:docId w15:val="{868D8873-5F43-4546-B843-40C03385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6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6CA"/>
    <w:pPr>
      <w:ind w:left="720"/>
      <w:contextualSpacing/>
    </w:pPr>
  </w:style>
  <w:style w:type="table" w:styleId="TableGrid">
    <w:name w:val="Table Grid"/>
    <w:basedOn w:val="TableNormal"/>
    <w:uiPriority w:val="39"/>
    <w:rsid w:val="00FA2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444</Words>
  <Characters>2533</Characters>
  <Application>Microsoft Office Word</Application>
  <DocSecurity>0</DocSecurity>
  <Lines>21</Lines>
  <Paragraphs>5</Paragraphs>
  <ScaleCrop>false</ScaleCrop>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Gossage (AfC)</dc:creator>
  <cp:keywords/>
  <dc:description/>
  <cp:lastModifiedBy>Rosie Gossage (AfC)</cp:lastModifiedBy>
  <cp:revision>1</cp:revision>
  <dcterms:created xsi:type="dcterms:W3CDTF">2022-10-27T14:08:00Z</dcterms:created>
  <dcterms:modified xsi:type="dcterms:W3CDTF">2022-10-27T14:10:00Z</dcterms:modified>
</cp:coreProperties>
</file>