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15400" cy="106487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47825" y="3257088"/>
                          <a:ext cx="6396350" cy="104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15400" cy="1064875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5400" cy="1064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00800" cy="10509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55125" y="3264063"/>
                          <a:ext cx="638175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00800" cy="1050925"/>
                <wp:effectExtent b="0" l="0" r="0" t="0"/>
                <wp:wrapNone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050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397625" cy="1045845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47188" y="3257078"/>
                          <a:ext cx="6397625" cy="1045845"/>
                          <a:chOff x="2147188" y="3257078"/>
                          <a:chExt cx="6397625" cy="1045845"/>
                        </a:xfrm>
                      </wpg:grpSpPr>
                      <wpg:grpSp>
                        <wpg:cNvGrpSpPr/>
                        <wpg:grpSpPr>
                          <a:xfrm>
                            <a:off x="2147188" y="3257078"/>
                            <a:ext cx="6397625" cy="1045845"/>
                            <a:chOff x="2147188" y="3257078"/>
                            <a:chExt cx="6397625" cy="104584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147188" y="3257078"/>
                              <a:ext cx="6397625" cy="1045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47188" y="3257078"/>
                              <a:ext cx="6397625" cy="1045845"/>
                              <a:chOff x="0" y="0"/>
                              <a:chExt cx="6397625" cy="1045845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6397625" cy="104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57150" y="241300"/>
                                <a:ext cx="1900555" cy="486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9" name="Shape 9"/>
                            <wps:spPr>
                              <a:xfrm>
                                <a:off x="0" y="730250"/>
                                <a:ext cx="629412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Providing Children’s Services for the Royal Borough of Windsor and Maidenhead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5486400" y="0"/>
                                <a:ext cx="911225" cy="1012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1" name="Shape 11"/>
                            <wps:spPr>
                              <a:xfrm>
                                <a:off x="4432300" y="25400"/>
                                <a:ext cx="1022350" cy="937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Educational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Psychology Team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Town Hall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St Ives Road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Maidenhead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SL6 1RF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397625" cy="1045845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7625" cy="1045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spacing w:after="0" w:line="240" w:lineRule="auto"/>
        <w:jc w:val="center"/>
        <w:rPr>
          <w:rFonts w:ascii="Verdana" w:cs="Verdana" w:eastAsia="Verdana" w:hAnsi="Verdana"/>
          <w:b w:val="1"/>
          <w:sz w:val="28"/>
          <w:szCs w:val="28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u w:val="single"/>
          <w:rtl w:val="0"/>
        </w:rPr>
        <w:t xml:space="preserve">Emotionally- Related School Avoidance- Whole School Audit</w:t>
      </w:r>
    </w:p>
    <w:p w:rsidR="00000000" w:rsidDel="00000000" w:rsidP="00000000" w:rsidRDefault="00000000" w:rsidRPr="00000000" w14:paraId="00000007">
      <w:pPr>
        <w:keepNext w:val="1"/>
        <w:keepLines w:val="1"/>
        <w:spacing w:after="0" w:line="240" w:lineRule="auto"/>
        <w:jc w:val="center"/>
        <w:rPr>
          <w:rFonts w:ascii="Verdana" w:cs="Verdana" w:eastAsia="Verdana" w:hAnsi="Verdana"/>
          <w:b w:val="1"/>
          <w:sz w:val="28"/>
          <w:szCs w:val="28"/>
          <w:u w:val="single"/>
        </w:rPr>
      </w:pPr>
      <w:bookmarkStart w:colFirst="0" w:colLast="0" w:name="_heading=h.ozt55kisjee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spacing w:after="0" w:line="240" w:lineRule="auto"/>
        <w:rPr>
          <w:rFonts w:ascii="Verdana" w:cs="Verdana" w:eastAsia="Verdana" w:hAnsi="Verdana"/>
          <w:sz w:val="20"/>
          <w:szCs w:val="20"/>
        </w:rPr>
      </w:pPr>
      <w:bookmarkStart w:colFirst="0" w:colLast="0" w:name="_heading=h.82gpc5dys6b9" w:id="3"/>
      <w:bookmarkEnd w:id="3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Definition: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Emotionally related school avoidance (ERSA) describes a group of children and young people (CYP) who experience difficulties attending school due to school, parent and/or child factors as well as wider societal factors. ERSA presents as a continuum, ranging from CYP who are attending school but present with anxiety and behavioural symptoms, through to complete absence from school for an extended period of time.</w:t>
      </w:r>
    </w:p>
    <w:p w:rsidR="00000000" w:rsidDel="00000000" w:rsidP="00000000" w:rsidRDefault="00000000" w:rsidRPr="00000000" w14:paraId="00000009">
      <w:pPr>
        <w:keepNext w:val="1"/>
        <w:keepLines w:val="1"/>
        <w:spacing w:after="0" w:line="240" w:lineRule="auto"/>
        <w:jc w:val="center"/>
        <w:rPr>
          <w:rFonts w:ascii="Verdana" w:cs="Verdana" w:eastAsia="Verdana" w:hAnsi="Verdana"/>
          <w:b w:val="1"/>
          <w:sz w:val="24"/>
          <w:szCs w:val="24"/>
          <w:u w:val="single"/>
        </w:rPr>
      </w:pPr>
      <w:bookmarkStart w:colFirst="0" w:colLast="0" w:name="_heading=h.9c07hi6f7y6m" w:id="4"/>
      <w:bookmarkEnd w:id="4"/>
      <w:r w:rsidDel="00000000" w:rsidR="00000000" w:rsidRPr="00000000">
        <w:rPr>
          <w:rtl w:val="0"/>
        </w:rPr>
      </w:r>
    </w:p>
    <w:tbl>
      <w:tblPr>
        <w:tblStyle w:val="Table1"/>
        <w:tblW w:w="10583.009594212017" w:type="dxa"/>
        <w:jc w:val="left"/>
        <w:tblInd w:w="0.0" w:type="dxa"/>
        <w:tblBorders>
          <w:top w:color="0070c0" w:space="0" w:sz="18" w:val="single"/>
          <w:left w:color="0070c0" w:space="0" w:sz="18" w:val="single"/>
          <w:bottom w:color="0070c0" w:space="0" w:sz="18" w:val="single"/>
          <w:right w:color="0070c0" w:space="0" w:sz="18" w:val="single"/>
          <w:insideH w:color="0070c0" w:space="0" w:sz="18" w:val="single"/>
          <w:insideV w:color="0070c0" w:space="0" w:sz="18" w:val="single"/>
        </w:tblBorders>
        <w:tblLayout w:type="fixed"/>
        <w:tblLook w:val="0400"/>
      </w:tblPr>
      <w:tblGrid>
        <w:gridCol w:w="3513.6214218307646"/>
        <w:gridCol w:w="1770.5520603963512"/>
        <w:gridCol w:w="990"/>
        <w:gridCol w:w="2460"/>
        <w:gridCol w:w="1848.8361119849012"/>
        <w:tblGridChange w:id="0">
          <w:tblGrid>
            <w:gridCol w:w="3513.6214218307646"/>
            <w:gridCol w:w="1770.5520603963512"/>
            <w:gridCol w:w="990"/>
            <w:gridCol w:w="2460"/>
            <w:gridCol w:w="1848.8361119849012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Whole school systems for promotion of emotional well-being and prevention of ERSA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Whole school provision currently available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RAG Rating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What is in need of development?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Next steps (including by whom and when)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School Culture and Ethos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Committed and inclusive senior management team - values all students and allows them to feel a sense of belonging.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All staff working within school are valued. Clear protocols regarding emotional support and stress management for staff, including supervision.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Continuous professional development for all staff which makes clear the promotion of positive emotional health and wellbeing is everybody's responsibility (including ERSA).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The importance of pupil voice and viewing the child holistically are approaches which are embedded within the culture of the school.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Recognition of the importance of communication and partnership working with parents and external agencies.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School systems, policy and practice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Clear and inclusive policies on attendance, behaviour, bullying, equality and transition which sets out the responsibilities for all and the support in place.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Curriculum includes the teaching of resilience, coping and social skills. 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Curriculum appropriately differentiated according to individual need.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Promotion of supportive literature regarding emotional well-being and mental health for young people,  parents and staff.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Clear roles and responsibilities for SENCo and emotional wellbeing leads. 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Robust transition planning for vulnerable students, both within (i.e. year moves) and between school settings.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School ERSA support and response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member of senior staff is responsible for overseeing arrangements for ERSA students (i.e. ERSA Lead)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Clear systems in place for the early identification of school avoidance (including good communication between SEN and pastoral teams)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Clear procedures in place for supporting students with limited school attendance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Nominated member of staff who has a responsibility to investigate and act on concerns.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Staff are aware as to whom they should convey any concerns regarding ERSA.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Provision of interventions within a graduated response - assess, plan, do &amp; review.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Staff are aware of the role of other agencies and local arrangements with regard to assessing and supporting students experiencing ERSA.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Access to indicated provision, e.g. safe places within the school, key person, ELSA/mentoring, pastoral support, nurture group, breakfast club, personalised timetable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All staff are aware of specific strategies and programmes in place to support those experiencing ERSA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(e.g. regulation strategies, relational approaches, supporting communication and eliciting CYP views)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Partnership working with parent/carers: they know who to approach with concerns and staff are skilled in supporting them to share personal and sensitive information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0" w:line="240" w:lineRule="auto"/>
        <w:rPr>
          <w:i w:val="1"/>
          <w:sz w:val="20"/>
          <w:szCs w:val="20"/>
        </w:rPr>
      </w:pPr>
      <w:bookmarkStart w:colFirst="0" w:colLast="0" w:name="_heading=h.qgcm2v7b5p8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sz w:val="20"/>
          <w:szCs w:val="20"/>
        </w:rPr>
      </w:pPr>
      <w:bookmarkStart w:colFirst="0" w:colLast="0" w:name="_heading=h.3wef6fb1hcn0" w:id="6"/>
      <w:bookmarkEnd w:id="6"/>
      <w:r w:rsidDel="00000000" w:rsidR="00000000" w:rsidRPr="00000000">
        <w:rPr>
          <w:b w:val="1"/>
          <w:sz w:val="20"/>
          <w:szCs w:val="20"/>
          <w:rtl w:val="0"/>
        </w:rPr>
        <w:t xml:space="preserve">Completed by: 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    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Date: 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               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Date to be reviewed by:</w:t>
      </w:r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</w:t>
      </w:r>
    </w:p>
    <w:p w:rsidR="00000000" w:rsidDel="00000000" w:rsidP="00000000" w:rsidRDefault="00000000" w:rsidRPr="00000000" w14:paraId="0000009F">
      <w:pPr>
        <w:spacing w:after="0" w:line="240" w:lineRule="auto"/>
        <w:rPr>
          <w:i w:val="1"/>
          <w:sz w:val="20"/>
          <w:szCs w:val="20"/>
        </w:rPr>
      </w:pPr>
      <w:bookmarkStart w:colFirst="0" w:colLast="0" w:name="_heading=h.h7ih939ipr8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i w:val="1"/>
          <w:sz w:val="20"/>
          <w:szCs w:val="20"/>
        </w:rPr>
      </w:pPr>
      <w:bookmarkStart w:colFirst="0" w:colLast="0" w:name="_heading=h.d12xexq4xyri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i w:val="1"/>
          <w:sz w:val="20"/>
          <w:szCs w:val="20"/>
        </w:rPr>
      </w:pPr>
      <w:bookmarkStart w:colFirst="0" w:colLast="0" w:name="_heading=h.r2l28jcd3xit" w:id="9"/>
      <w:bookmarkEnd w:id="9"/>
      <w:r w:rsidDel="00000000" w:rsidR="00000000" w:rsidRPr="00000000">
        <w:rPr>
          <w:i w:val="1"/>
          <w:sz w:val="20"/>
          <w:szCs w:val="20"/>
          <w:rtl w:val="0"/>
        </w:rPr>
        <w:t xml:space="preserve">With thanks to guidance from West Sussex EPS for which this ERSA Whole School Audit has been adapted from</w:t>
      </w:r>
    </w:p>
    <w:sectPr>
      <w:footerReference r:id="rId13" w:type="default"/>
      <w:pgSz w:h="16838" w:w="11906" w:orient="portrait"/>
      <w:pgMar w:bottom="426" w:top="426" w:left="851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A4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Green = strength; Amber = some room for improvement; Red = not in place at all/ priority area for development</w:t>
      </w:r>
    </w:p>
    <w:p w:rsidR="00000000" w:rsidDel="00000000" w:rsidP="00000000" w:rsidRDefault="00000000" w:rsidRPr="00000000" w14:paraId="000000A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="240" w:lineRule="auto"/>
    </w:pPr>
    <w:rPr>
      <w:rFonts w:ascii="Verdana" w:cs="Verdana" w:eastAsia="Verdana" w:hAnsi="Verdana"/>
      <w:b w:val="1"/>
      <w:color w:val="7f7f7f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="240" w:lineRule="auto"/>
    </w:pPr>
    <w:rPr>
      <w:rFonts w:ascii="Verdana" w:cs="Verdana" w:eastAsia="Verdana" w:hAnsi="Verdana"/>
      <w:b w:val="1"/>
      <w:color w:val="7f7f7f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E22F58"/>
    <w:pPr>
      <w:keepNext w:val="1"/>
      <w:keepLines w:val="1"/>
      <w:spacing w:after="240" w:before="480" w:line="240" w:lineRule="auto"/>
      <w:outlineLvl w:val="0"/>
    </w:pPr>
    <w:rPr>
      <w:rFonts w:ascii="Verdana" w:hAnsi="Verdana" w:cstheme="majorBidi" w:eastAsiaTheme="majorEastAsia"/>
      <w:b w:val="1"/>
      <w:bCs w:val="1"/>
      <w:color w:val="7f7f7f" w:themeColor="text1" w:themeTint="000080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22F58"/>
    <w:rPr>
      <w:rFonts w:ascii="Verdana" w:hAnsi="Verdana" w:cstheme="majorBidi" w:eastAsiaTheme="majorEastAsia"/>
      <w:b w:val="1"/>
      <w:bCs w:val="1"/>
      <w:color w:val="7f7f7f" w:themeColor="text1" w:themeTint="000080"/>
      <w:sz w:val="32"/>
      <w:szCs w:val="32"/>
      <w:lang w:eastAsia="en-US" w:val="en-US"/>
    </w:rPr>
  </w:style>
  <w:style w:type="table" w:styleId="TableGrid">
    <w:name w:val="Table Grid"/>
    <w:basedOn w:val="TableNormal"/>
    <w:uiPriority w:val="59"/>
    <w:rsid w:val="00E22F58"/>
    <w:rPr>
      <w:rFonts w:asciiTheme="minorHAnsi" w:cstheme="minorBidi" w:eastAsiaTheme="minorEastAsia" w:hAnsiTheme="minorHAnsi"/>
      <w:sz w:val="24"/>
      <w:szCs w:val="24"/>
      <w:lang w:eastAsia="en-US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22F5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22F58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E22F58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AD49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499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AD49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499D"/>
    <w:rPr>
      <w:sz w:val="22"/>
      <w:szCs w:val="22"/>
      <w:lang w:eastAsia="en-US"/>
    </w:rPr>
  </w:style>
  <w:style w:type="table" w:styleId="MediumGrid1-Accent3">
    <w:name w:val="Medium Grid 1 Accent 3"/>
    <w:basedOn w:val="TableNormal"/>
    <w:uiPriority w:val="67"/>
    <w:rsid w:val="00F947F7"/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LightList-Accent31" w:customStyle="1">
    <w:name w:val="Light List - Accent 31"/>
    <w:basedOn w:val="TableNormal"/>
    <w:next w:val="LightList-Accent3"/>
    <w:uiPriority w:val="61"/>
    <w:rsid w:val="003B31A6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3">
    <w:name w:val="Light List Accent 3"/>
    <w:basedOn w:val="TableNormal"/>
    <w:uiPriority w:val="61"/>
    <w:rsid w:val="003B31A6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TableGrid1" w:customStyle="1">
    <w:name w:val="Table Grid1"/>
    <w:basedOn w:val="TableNormal"/>
    <w:next w:val="TableGrid"/>
    <w:uiPriority w:val="59"/>
    <w:rsid w:val="004D4E48"/>
    <w:rPr>
      <w:rFonts w:ascii="Cambria" w:eastAsia="MS Mincho" w:hAnsi="Cambria"/>
      <w:sz w:val="24"/>
      <w:szCs w:val="24"/>
      <w:lang w:eastAsia="en-US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A3097C"/>
    <w:rPr>
      <w:color w:val="666633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footer" Target="foot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nC/jWelgLpBURLYd+nhokKNQA==">AMUW2mW5AfSh57wG6Y7BIp7Vjx9pXVBP7TCaut2szgtHMIbJYQ8+YYYSdzdldD2Awu8Hwjm2Cm1MP3FRztYE8yipDXbkPaX9RjkoDH9M5WcNUDUU6zVbfLlwzF6ATtD4+3QOYq4ciQoxMx+BuAlUBxrnIwsTh+ueGwj5dUM+RIXXdeo895RcIxr8KlpWGG6DKF91WH5Ny0OqLLNMTj8zVmVI7SQOnC1iUH4ExdcSM67Yjgr18hj4trGsefnr66mgnPK11VE/68e+GcsfH+iOOw3hOU3pg9DJV1latZUUBfj3E4fNy3vKF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2021-01-07T17:11:00Z</dcterms:created>
  <dc:creator>Andrea Morgan</dc:creator>
</cp:coreProperties>
</file>